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способами использования предоставляемых возможностей для приобретения новых знаний и умений, демонстрировать интерес к учебе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способы поддержания должного уровня физической подготовленности для обеспечения полноценной социальной и профессиональной деятельности и соблюдать нормы здорового образа жизни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w:t>
            </w:r>
          </w:p>
        </w:tc>
      </w:tr>
      <w:tr>
        <w:trPr>
          <w:trHeight w:hRule="exact" w:val="483.482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владеть способами использования предоставляемых возможностей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приобретения новых знаний и умений, демонстрировать интерес к учебе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w:t>
            </w:r>
          </w:p>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Модуль, формирующий компетенции физической культуры</w:t>
            </w:r>
          </w:p>
          <w:p>
            <w:pPr>
              <w:jc w:val="center"/>
              <w:spacing w:after="0" w:line="240" w:lineRule="auto"/>
              <w:rPr>
                <w:sz w:val="22"/>
                <w:szCs w:val="22"/>
              </w:rPr>
            </w:pPr>
            <w:r>
              <w:rPr>
                <w:rFonts w:ascii="Times New Roman" w:hAnsi="Times New Roman" w:cs="Times New Roman"/>
                <w:color w:val="#000000"/>
                <w:sz w:val="22"/>
                <w:szCs w:val="22"/>
              </w:rPr>
              <w:t> Здоровьесберегающие технологии в</w:t>
            </w:r>
          </w:p>
          <w:p>
            <w:pPr>
              <w:jc w:val="center"/>
              <w:spacing w:after="0" w:line="240" w:lineRule="auto"/>
              <w:rPr>
                <w:sz w:val="22"/>
                <w:szCs w:val="22"/>
              </w:rPr>
            </w:pPr>
            <w:r>
              <w:rPr>
                <w:rFonts w:ascii="Times New Roman" w:hAnsi="Times New Roman" w:cs="Times New Roman"/>
                <w:color w:val="#000000"/>
                <w:sz w:val="22"/>
                <w:szCs w:val="22"/>
              </w:rPr>
              <w:t> педагогическом образовании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 УК-6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292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 3,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техники подач – приема – передачи – атакующего удара – блока.  Развитие прыгучести.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волейбола. Правила  соревнований игры в волейбол. Общефизическая подготовка развитие мышц: туловища, рук,  ног. Развитие :</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Изучение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Изучение (совершенствование)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Прием и передача мяча снизу, сверху в прыжке. Комплекс упражнений на развитие прыгучести. Изучение совершенствование техники атакующего удара – блока. Совершенствование техники игры в нападении и защите. Судейство. Дневник самоконтроля (объективные и субъективные меторды, ЧСС, АД)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3</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207.7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207.79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скоростно-силовых качеств. Учебно – тренировочная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6264.5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соревнований игры в волейбол (обязанности главного судьй, боковых судей, технического секретаря). Общефизическая подготовка волейболиста.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Совершенствование элементов техники передвижений, работа в группах, парах. Стойки и перемещения, их сочетания (бег, скачок, остановки). Передача мяча сверху и снизу в опорном положении.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техникипПриема и передача мяча снизу, сверху в прыжке.  Комплекс упражнений на развитие прыгучести. Совершенствование техники атакующего удара – блока. Совершенствование техники игры в нападении и защите. Совершенствование навыка судейства.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Игровые виды спорта 4</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937.31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9239.68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p>
            <w:pPr>
              <w:jc w:val="left"/>
              <w:spacing w:after="0" w:line="240" w:lineRule="auto"/>
              <w:rPr>
                <w:sz w:val="24"/>
                <w:szCs w:val="24"/>
              </w:rPr>
            </w:pPr>
            <w:r>
              <w:rPr>
                <w:rFonts w:ascii="Times New Roman" w:hAnsi="Times New Roman" w:cs="Times New Roman"/>
                <w:color w:val="#000000"/>
                <w:sz w:val="24"/>
                <w:szCs w:val="24"/>
              </w:rPr>
              <w:t> Судейство в должности: главного судьи соревнования, бокового судьи; технического секретаря. Общефизическая подготовка волейболиста.  Дальнейшее совершенствование:</w:t>
            </w:r>
          </w:p>
          <w:p>
            <w:pPr>
              <w:jc w:val="left"/>
              <w:spacing w:after="0" w:line="240" w:lineRule="auto"/>
              <w:rPr>
                <w:sz w:val="24"/>
                <w:szCs w:val="24"/>
              </w:rPr>
            </w:pPr>
            <w:r>
              <w:rPr>
                <w:rFonts w:ascii="Times New Roman" w:hAnsi="Times New Roman" w:cs="Times New Roman"/>
                <w:color w:val="#000000"/>
                <w:sz w:val="24"/>
                <w:szCs w:val="24"/>
              </w:rPr>
              <w:t> -выносливости;</w:t>
            </w:r>
          </w:p>
          <w:p>
            <w:pPr>
              <w:jc w:val="left"/>
              <w:spacing w:after="0" w:line="240" w:lineRule="auto"/>
              <w:rPr>
                <w:sz w:val="24"/>
                <w:szCs w:val="24"/>
              </w:rPr>
            </w:pPr>
            <w:r>
              <w:rPr>
                <w:rFonts w:ascii="Times New Roman" w:hAnsi="Times New Roman" w:cs="Times New Roman"/>
                <w:color w:val="#000000"/>
                <w:sz w:val="24"/>
                <w:szCs w:val="24"/>
              </w:rPr>
              <w:t> -скоростно-силовых качеств.</w:t>
            </w:r>
          </w:p>
          <w:p>
            <w:pPr>
              <w:jc w:val="left"/>
              <w:spacing w:after="0" w:line="240" w:lineRule="auto"/>
              <w:rPr>
                <w:sz w:val="24"/>
                <w:szCs w:val="24"/>
              </w:rPr>
            </w:pPr>
            <w:r>
              <w:rPr>
                <w:rFonts w:ascii="Times New Roman" w:hAnsi="Times New Roman" w:cs="Times New Roman"/>
                <w:color w:val="#000000"/>
                <w:sz w:val="24"/>
                <w:szCs w:val="24"/>
              </w:rPr>
              <w:t> Дальнейшее совершенствование элементов техники передвижений, в группе, парах. Дальнейшее совершенствование индивидуальной техники (Стойки и перемещения, их сочетания (бег, скачок, остановки).  Передача мяча сверху и снизу в прыжке.  Совершенствование индивидуальной техники подачи:</w:t>
            </w:r>
          </w:p>
          <w:p>
            <w:pPr>
              <w:jc w:val="left"/>
              <w:spacing w:after="0" w:line="240" w:lineRule="auto"/>
              <w:rPr>
                <w:sz w:val="24"/>
                <w:szCs w:val="24"/>
              </w:rPr>
            </w:pPr>
            <w:r>
              <w:rPr>
                <w:rFonts w:ascii="Times New Roman" w:hAnsi="Times New Roman" w:cs="Times New Roman"/>
                <w:color w:val="#000000"/>
                <w:sz w:val="24"/>
                <w:szCs w:val="24"/>
              </w:rPr>
              <w:t> нижняя прямая;</w:t>
            </w:r>
          </w:p>
          <w:p>
            <w:pPr>
              <w:jc w:val="left"/>
              <w:spacing w:after="0" w:line="240" w:lineRule="auto"/>
              <w:rPr>
                <w:sz w:val="24"/>
                <w:szCs w:val="24"/>
              </w:rPr>
            </w:pPr>
            <w:r>
              <w:rPr>
                <w:rFonts w:ascii="Times New Roman" w:hAnsi="Times New Roman" w:cs="Times New Roman"/>
                <w:color w:val="#000000"/>
                <w:sz w:val="24"/>
                <w:szCs w:val="24"/>
              </w:rPr>
              <w:t> нижняя боковая;</w:t>
            </w:r>
          </w:p>
          <w:p>
            <w:pPr>
              <w:jc w:val="left"/>
              <w:spacing w:after="0" w:line="240" w:lineRule="auto"/>
              <w:rPr>
                <w:sz w:val="24"/>
                <w:szCs w:val="24"/>
              </w:rPr>
            </w:pPr>
            <w:r>
              <w:rPr>
                <w:rFonts w:ascii="Times New Roman" w:hAnsi="Times New Roman" w:cs="Times New Roman"/>
                <w:color w:val="#000000"/>
                <w:sz w:val="24"/>
                <w:szCs w:val="24"/>
              </w:rPr>
              <w:t> верхняя боковая;</w:t>
            </w:r>
          </w:p>
          <w:p>
            <w:pPr>
              <w:jc w:val="left"/>
              <w:spacing w:after="0" w:line="240" w:lineRule="auto"/>
              <w:rPr>
                <w:sz w:val="24"/>
                <w:szCs w:val="24"/>
              </w:rPr>
            </w:pPr>
            <w:r>
              <w:rPr>
                <w:rFonts w:ascii="Times New Roman" w:hAnsi="Times New Roman" w:cs="Times New Roman"/>
                <w:color w:val="#000000"/>
                <w:sz w:val="24"/>
                <w:szCs w:val="24"/>
              </w:rPr>
              <w:t> верхняя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3902.8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 В парах, тройках. Комплекс упражнений на развитие выносливости. Учебная игра с заданием по технике. Судейская  бригада Обязанности главного судьи соревнований, боковых судей, технического секретаря.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приема – передачи – атакующий удар – блок из 2 игроков – со страховкой. Отработка навыков, работа в группах, парах и тройках. Комплекс физических упражнений на развитие силовых качеств. Учебная – тренировочная игра различными заданиями (техника приема мяча в разных зонах).</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развитие скоростных качеств. Учебно – тренировочная игра заданиями по технике передачи мяча из разных зон).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техники подач – приема – передачи – атакующего удара – блока.  Развитие прыгучести. Учебно – тренировочная игра.</w:t>
            </w:r>
          </w:p>
        </w:tc>
      </w:tr>
      <w:tr>
        <w:trPr>
          <w:trHeight w:hRule="exact" w:val="285.18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5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 В парах, тройках. Комплекс упражнений на совершенствование специальной выносливости. Учебная игра с заданием по индивидуальной технике приема и передачи мяча из разных зон. Судейство соревнований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Комплекс физических упражнений на совершенствование скоростных качеств. Учебная – тренировочная игра различными заданиями по приему и передачи мяча в разных зонах.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на точность: Нижняя прямая подача. Нижняя боковая подача. Верхняя прямая подача.  Верхняя боковая подача. Совершенствование тактико-технических действий - работа в парах,  группе. Комплекс физических упражнений на совершенствование скоростных качеств. Учебно – тренировочная игра заданиями по технике подача - прием.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техники подач – приема – передачи – атакующего удара – блока. Совершенствование индивидуальной специальной выносливости, скоростно- силовых качеств. Учебно – тренировочная игра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подач – приема – передач. В парах, тройках. Комплекс упражнений на развитие (совершенствование) мышц брюшного пресса, спины. Учебная игра с заданием по технике. Судейство соревнований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техники приема – передачи – атакующий удар – блок из 2 игроков – со страховкой. Отработка индивидуальных технических действий в группах, парах и тройках. Тренировочная игра различными заданиями.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Совершенствование индивидуальной техники подач на точность: нижняя прямая подача; нижняя боковая подача; верхняя боковая подача, верхняя прямая подача. Совершенствование индивидульных тактико-технических действий в парах, тройках, группе.  Учебно – тренировочная игра заданиями по технике подачи в разные зоны.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Дальнейшее совершенствование индивидуальной техники подач – приема – передачи – атакующего удара – блока.  Дальнейшее совершенствование специальной выносливости, скоростно-силовых качеств. Тренировочная игра. Организация и проведение соревнований.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54.6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2023-2024_ФГОС3++2023_Бак-ЗФО-ПО(ИО)(23)_plx_Физическая культура и спорт (элективная дисциплина)</dc:title>
  <dc:creator>FastReport.NET</dc:creator>
</cp:coreProperties>
</file>